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18 67 vom 3. Mai 2018</w:t>
      </w:r>
    </w:p>
    <w:p>
      <w:r>
        <w:t>VS Kantonsgericht, 2018-05-03, FR</w:t>
      </w:r>
    </w:p>
    <w:p>
      <w:r>
        <w:rPr>
          <w:b/>
        </w:rPr>
        <w:t xml:space="preserve">Quelle: </w:t>
      </w:r>
      <w:r>
        <w:t>https://mcp.opencaselaw.ch/entscheid/vs_gerichte_C2 18 67</w:t>
      </w:r>
    </w:p>
    <w:p>
      <w:r>
        <w:t>FR: VS_GERICHTE C2 18 67 du 3 mai 2018</w:t>
      </w:r>
    </w:p>
    <w:p>
      <w:r>
        <w:t>IT: VS_GERICHTE C2 18 67 del 3 maggio 2018</w:t>
      </w:r>
    </w:p>
    <w:p>
      <w:pPr>
        <w:pStyle w:val="Heading2"/>
      </w:pPr>
      <w:r>
        <w:t>Regeste</w:t>
      </w:r>
    </w:p>
    <w:p>
      <w:r>
        <w:t>DECCIV /14 C2 18 67 DÉCISION DU 3 MAI 2018 Le juge II des districts d'Hérens et Conthey Christophe Pralong, siégeant au Tribunal d’Hérens et D _________, à Sion en la cause X _________, instante, représentée par Maître M _________ contre Y _________ Sàrl, intimé, représentés par Maître N _________ (expulsion de locataire)</w:t>
      </w:r>
    </w:p>
    <w:p>
      <w:pPr>
        <w:pStyle w:val="Heading2"/>
      </w:pPr>
      <w:r>
        <w:t>Erwägungen</w:t>
      </w:r>
    </w:p>
    <w:p>
      <w:r>
        <w:rPr>
          <w:b/>
        </w:rPr>
        <w:t>E. 1</w:t>
      </w:r>
    </w:p>
    <w:p>
      <w:r>
        <w:t>local à chauffage séparé (porte automatique EI 60) avec chaudière - Places de parc extérieure devant le local</w:t>
      </w:r>
    </w:p>
    <w:p>
      <w:r>
        <w:t>qu'à défaut d'exécution dans le délai précité, la bailleresse pourra requérir l'assistance de la force publique dont les frais d'intervention seront mis à la charge de l’intimée (art. 278 al. 2 par renvoi de l'art. 295 al. 2 CPC) ;</w:t>
      </w:r>
    </w:p>
    <w:p>
      <w:r>
        <w:t>que, par ailleurs, compte tenu de l’admission de la requête s’agissant de la validité de la résiliation du bail et de l’évacuation de la locataire, la conclusion de la requérante tendant au paiement par l’intimée des montants de 2'100 fr. dès le 1er mars 2018 au titre d’indemnités d’occupation illicite des locaux peut également être admise, vu la jurisprudence claire rendue à ce sujet (Lachat, Le bail à loyer, Lausanne 2008, p. 87, 674 et 821, et les réf. cit.) ; que, partant, l’intimée sera condamnée à verser à ce titre à la requérante les montants de 2'100 fr. avec intérêt à 5% l’an dès le 1er mars 2018, 2'100 fr. avec intérêt à 5% l’an dès le 1er avril 2018 et 2'100 fr. avec intérêt à 5% l’an dès le 1er mai 2018, le tout sous déduction des sommes éventuellement déjà versées à ce titre par l’intéressée ;</w:t>
      </w:r>
    </w:p>
    <w:p>
      <w:r>
        <w:t>que, vu le sort de la requête, les frais, comprenant les frais judiciaires (art. 95 al. 1 let. a CPC) et les dépens (art. 95 al. 1 let. b CPC), doivent être mis la charge de Y _________ Sàrl, qui revêt la qualité de partie qui succombe au sens de l’art. 106 al. 1 CPC ; que, s'agissant des frais judiciaires, ceux-ci peuvent être arrêtés à 600 fr. au vu l’art. 18 LTar ; qu’ils sont mis à la charge de Y _________ Sàrl mais seront prélevés sur les avances effectuées en procédure par la bailleresse ; que Y _________ Sàrl, remboursera ainsi à X _________ le montant de son avance par 500 fr. et lui versera en outre des dépens arrêtés, au vu des opérations de l’instante ressortant du dossier, à 2'000 fr. (art. 34 al. 1 LTar)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